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1C32" w14:textId="39F8F478" w:rsidR="005964C3" w:rsidRDefault="005964C3" w:rsidP="005964C3">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Shobdon Parish Council Risk Management Scheme and Schedule</w:t>
      </w:r>
    </w:p>
    <w:p w14:paraId="1EC773D1" w14:textId="7A6B39C1" w:rsidR="00C215C0" w:rsidRDefault="00C215C0" w:rsidP="005964C3">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 xml:space="preserve">Approved September 2019 </w:t>
      </w:r>
      <w:bookmarkStart w:id="0" w:name="_GoBack"/>
      <w:bookmarkEnd w:id="0"/>
    </w:p>
    <w:p w14:paraId="13A0D318" w14:textId="77777777" w:rsidR="005964C3" w:rsidRDefault="005964C3" w:rsidP="005964C3">
      <w:pPr>
        <w:spacing w:after="160" w:line="259" w:lineRule="auto"/>
        <w:rPr>
          <w:rFonts w:asciiTheme="minorHAnsi" w:hAnsiTheme="minorHAnsi" w:cstheme="minorHAnsi"/>
          <w:b/>
          <w:sz w:val="22"/>
          <w:szCs w:val="22"/>
        </w:rPr>
      </w:pPr>
    </w:p>
    <w:p w14:paraId="1BCF03AE" w14:textId="77777777" w:rsidR="005964C3" w:rsidRDefault="005964C3" w:rsidP="005964C3">
      <w:pPr>
        <w:spacing w:after="160" w:line="259" w:lineRule="auto"/>
        <w:rPr>
          <w:rFonts w:asciiTheme="minorHAnsi" w:hAnsiTheme="minorHAnsi" w:cstheme="minorHAnsi"/>
          <w:b/>
          <w:sz w:val="22"/>
          <w:szCs w:val="22"/>
        </w:rPr>
      </w:pPr>
      <w:r>
        <w:rPr>
          <w:rFonts w:asciiTheme="minorHAnsi" w:hAnsiTheme="minorHAnsi" w:cstheme="minorHAnsi"/>
          <w:b/>
          <w:sz w:val="22"/>
          <w:szCs w:val="22"/>
        </w:rPr>
        <w:br/>
        <w:t>Definition of Risk Management</w:t>
      </w:r>
    </w:p>
    <w:p w14:paraId="6FCCFA62" w14:textId="77777777" w:rsidR="005964C3" w:rsidRPr="00B80A1C" w:rsidRDefault="005964C3" w:rsidP="005964C3">
      <w:pPr>
        <w:rPr>
          <w:rFonts w:asciiTheme="minorHAnsi" w:hAnsiTheme="minorHAnsi" w:cstheme="minorHAnsi"/>
          <w:sz w:val="22"/>
          <w:szCs w:val="22"/>
        </w:rPr>
      </w:pPr>
      <w:r w:rsidRPr="00B80A1C">
        <w:rPr>
          <w:rFonts w:asciiTheme="minorHAnsi" w:hAnsiTheme="minorHAnsi" w:cstheme="minorHAnsi"/>
          <w:sz w:val="22"/>
          <w:szCs w:val="22"/>
        </w:rPr>
        <w:t>Risk is the threat that an event or action will adversely affect the Parish Council</w:t>
      </w:r>
      <w:r>
        <w:rPr>
          <w:rFonts w:asciiTheme="minorHAnsi" w:hAnsiTheme="minorHAnsi" w:cstheme="minorHAnsi"/>
          <w:sz w:val="22"/>
          <w:szCs w:val="22"/>
        </w:rPr>
        <w:t>’</w:t>
      </w:r>
      <w:r w:rsidRPr="00B80A1C">
        <w:rPr>
          <w:rFonts w:asciiTheme="minorHAnsi" w:hAnsiTheme="minorHAnsi" w:cstheme="minorHAnsi"/>
          <w:sz w:val="22"/>
          <w:szCs w:val="22"/>
        </w:rPr>
        <w:t xml:space="preserve">s ability to carry out its work and achieve its objectives. Risk management is the process by which risks are identified, evaluated and controlled. It is a key element of the framework of governance together with community focus, structures and processes, standards of conduct and service delivery arrangements. </w:t>
      </w:r>
    </w:p>
    <w:p w14:paraId="25AE6914" w14:textId="77777777" w:rsidR="005964C3" w:rsidRPr="00B80A1C" w:rsidRDefault="005964C3" w:rsidP="005964C3">
      <w:pPr>
        <w:rPr>
          <w:rFonts w:asciiTheme="minorHAnsi" w:hAnsiTheme="minorHAnsi" w:cstheme="minorHAnsi"/>
          <w:sz w:val="22"/>
          <w:szCs w:val="22"/>
        </w:rPr>
      </w:pPr>
    </w:p>
    <w:p w14:paraId="2F01F843" w14:textId="77777777" w:rsidR="005964C3" w:rsidRPr="00B80A1C" w:rsidRDefault="005964C3" w:rsidP="005964C3">
      <w:pPr>
        <w:rPr>
          <w:rFonts w:asciiTheme="minorHAnsi" w:hAnsiTheme="minorHAnsi" w:cstheme="minorHAnsi"/>
          <w:sz w:val="22"/>
          <w:szCs w:val="22"/>
        </w:rPr>
      </w:pPr>
      <w:r w:rsidRPr="00B80A1C">
        <w:rPr>
          <w:rFonts w:asciiTheme="minorHAnsi" w:hAnsiTheme="minorHAnsi" w:cstheme="minorHAnsi"/>
          <w:sz w:val="22"/>
          <w:szCs w:val="22"/>
        </w:rPr>
        <w:t xml:space="preserve">The Parish Council is aware that although some risks can never be eliminated fully, it has in place a strategy that provides a structured, systematic and focuses approach to managing risk, which: </w:t>
      </w:r>
    </w:p>
    <w:p w14:paraId="799DED91" w14:textId="77777777" w:rsidR="005964C3" w:rsidRPr="00B80A1C" w:rsidRDefault="005964C3" w:rsidP="005964C3">
      <w:pPr>
        <w:pStyle w:val="ListParagraph"/>
        <w:numPr>
          <w:ilvl w:val="0"/>
          <w:numId w:val="1"/>
        </w:numPr>
        <w:rPr>
          <w:rFonts w:asciiTheme="minorHAnsi" w:hAnsiTheme="minorHAnsi" w:cstheme="minorHAnsi"/>
          <w:sz w:val="22"/>
          <w:szCs w:val="22"/>
        </w:rPr>
      </w:pPr>
      <w:r w:rsidRPr="00B80A1C">
        <w:rPr>
          <w:rFonts w:asciiTheme="minorHAnsi" w:hAnsiTheme="minorHAnsi" w:cstheme="minorHAnsi"/>
          <w:sz w:val="22"/>
          <w:szCs w:val="22"/>
        </w:rPr>
        <w:t>Identifies the subject</w:t>
      </w:r>
    </w:p>
    <w:p w14:paraId="3AAFBB9A" w14:textId="77777777" w:rsidR="005964C3" w:rsidRPr="00B80A1C" w:rsidRDefault="005964C3" w:rsidP="005964C3">
      <w:pPr>
        <w:pStyle w:val="ListParagraph"/>
        <w:numPr>
          <w:ilvl w:val="0"/>
          <w:numId w:val="1"/>
        </w:numPr>
        <w:rPr>
          <w:rFonts w:asciiTheme="minorHAnsi" w:hAnsiTheme="minorHAnsi" w:cstheme="minorHAnsi"/>
          <w:sz w:val="22"/>
          <w:szCs w:val="22"/>
        </w:rPr>
      </w:pPr>
      <w:r w:rsidRPr="00B80A1C">
        <w:rPr>
          <w:rFonts w:asciiTheme="minorHAnsi" w:hAnsiTheme="minorHAnsi" w:cstheme="minorHAnsi"/>
          <w:sz w:val="22"/>
          <w:szCs w:val="22"/>
        </w:rPr>
        <w:t xml:space="preserve">Identifies what the risk may be </w:t>
      </w:r>
    </w:p>
    <w:p w14:paraId="02BCDA64" w14:textId="77777777" w:rsidR="005964C3" w:rsidRPr="00B80A1C" w:rsidRDefault="005964C3" w:rsidP="005964C3">
      <w:pPr>
        <w:pStyle w:val="ListParagraph"/>
        <w:numPr>
          <w:ilvl w:val="0"/>
          <w:numId w:val="1"/>
        </w:numPr>
        <w:rPr>
          <w:rFonts w:asciiTheme="minorHAnsi" w:hAnsiTheme="minorHAnsi" w:cstheme="minorHAnsi"/>
          <w:sz w:val="22"/>
          <w:szCs w:val="22"/>
        </w:rPr>
      </w:pPr>
      <w:r w:rsidRPr="00B80A1C">
        <w:rPr>
          <w:rFonts w:asciiTheme="minorHAnsi" w:hAnsiTheme="minorHAnsi" w:cstheme="minorHAnsi"/>
          <w:sz w:val="22"/>
          <w:szCs w:val="22"/>
        </w:rPr>
        <w:t xml:space="preserve">Identifies the level of risk </w:t>
      </w:r>
    </w:p>
    <w:p w14:paraId="2212E0D5" w14:textId="77777777" w:rsidR="005964C3" w:rsidRPr="00B80A1C" w:rsidRDefault="005964C3" w:rsidP="005964C3">
      <w:pPr>
        <w:pStyle w:val="ListParagraph"/>
        <w:numPr>
          <w:ilvl w:val="0"/>
          <w:numId w:val="1"/>
        </w:numPr>
        <w:rPr>
          <w:rFonts w:asciiTheme="minorHAnsi" w:hAnsiTheme="minorHAnsi" w:cstheme="minorHAnsi"/>
          <w:sz w:val="22"/>
          <w:szCs w:val="22"/>
        </w:rPr>
      </w:pPr>
      <w:r w:rsidRPr="00B80A1C">
        <w:rPr>
          <w:rFonts w:asciiTheme="minorHAnsi" w:hAnsiTheme="minorHAnsi" w:cstheme="minorHAnsi"/>
          <w:sz w:val="22"/>
          <w:szCs w:val="22"/>
        </w:rPr>
        <w:t>Evaluates the management and control of the risk and records findings</w:t>
      </w:r>
    </w:p>
    <w:p w14:paraId="49480F31" w14:textId="77777777" w:rsidR="005964C3" w:rsidRPr="00B80A1C" w:rsidRDefault="005964C3" w:rsidP="005964C3">
      <w:pPr>
        <w:pStyle w:val="ListParagraph"/>
        <w:numPr>
          <w:ilvl w:val="0"/>
          <w:numId w:val="1"/>
        </w:numPr>
        <w:rPr>
          <w:rFonts w:asciiTheme="minorHAnsi" w:hAnsiTheme="minorHAnsi" w:cstheme="minorHAnsi"/>
          <w:sz w:val="22"/>
          <w:szCs w:val="22"/>
        </w:rPr>
      </w:pPr>
      <w:r w:rsidRPr="00B80A1C">
        <w:rPr>
          <w:rFonts w:asciiTheme="minorHAnsi" w:hAnsiTheme="minorHAnsi" w:cstheme="minorHAnsi"/>
          <w:sz w:val="22"/>
          <w:szCs w:val="22"/>
        </w:rPr>
        <w:t xml:space="preserve">Reviews, assesses and revises procedures if required </w:t>
      </w:r>
    </w:p>
    <w:p w14:paraId="6C7BA40A" w14:textId="77777777" w:rsidR="005964C3" w:rsidRPr="00B80A1C" w:rsidRDefault="005964C3" w:rsidP="005964C3">
      <w:pPr>
        <w:rPr>
          <w:rFonts w:asciiTheme="minorHAnsi" w:hAnsiTheme="minorHAnsi" w:cstheme="minorHAnsi"/>
          <w:sz w:val="22"/>
          <w:szCs w:val="22"/>
        </w:rPr>
      </w:pPr>
    </w:p>
    <w:p w14:paraId="5E50FA48" w14:textId="77777777" w:rsidR="005964C3" w:rsidRPr="00B80A1C" w:rsidRDefault="005964C3" w:rsidP="005964C3">
      <w:pPr>
        <w:rPr>
          <w:rFonts w:asciiTheme="minorHAnsi" w:hAnsiTheme="minorHAnsi" w:cstheme="minorHAnsi"/>
          <w:sz w:val="22"/>
          <w:szCs w:val="22"/>
        </w:rPr>
      </w:pPr>
      <w:r w:rsidRPr="00B80A1C">
        <w:rPr>
          <w:rFonts w:asciiTheme="minorHAnsi" w:hAnsiTheme="minorHAnsi" w:cstheme="minorHAnsi"/>
          <w:sz w:val="22"/>
          <w:szCs w:val="22"/>
        </w:rPr>
        <w:t>The following are the identified areas of risk.</w:t>
      </w:r>
    </w:p>
    <w:p w14:paraId="639E96AA" w14:textId="77777777" w:rsidR="005964C3" w:rsidRDefault="005964C3" w:rsidP="005964C3">
      <w:pPr>
        <w:rPr>
          <w:rFonts w:asciiTheme="minorHAnsi" w:hAnsiTheme="minorHAnsi" w:cstheme="minorHAnsi"/>
        </w:rPr>
      </w:pPr>
    </w:p>
    <w:tbl>
      <w:tblPr>
        <w:tblStyle w:val="TableGrid"/>
        <w:tblW w:w="9493" w:type="dxa"/>
        <w:tblLook w:val="04A0" w:firstRow="1" w:lastRow="0" w:firstColumn="1" w:lastColumn="0" w:noHBand="0" w:noVBand="1"/>
      </w:tblPr>
      <w:tblGrid>
        <w:gridCol w:w="1473"/>
        <w:gridCol w:w="2461"/>
        <w:gridCol w:w="774"/>
        <w:gridCol w:w="3092"/>
        <w:gridCol w:w="1693"/>
      </w:tblGrid>
      <w:tr w:rsidR="005964C3" w:rsidRPr="00B80A1C" w14:paraId="46FE017E" w14:textId="77777777" w:rsidTr="008A5914">
        <w:tc>
          <w:tcPr>
            <w:tcW w:w="1473" w:type="dxa"/>
          </w:tcPr>
          <w:p w14:paraId="5606D0EC" w14:textId="77777777" w:rsidR="005964C3" w:rsidRPr="00B80A1C" w:rsidRDefault="005964C3" w:rsidP="008A5914">
            <w:pPr>
              <w:rPr>
                <w:rFonts w:asciiTheme="minorHAnsi" w:hAnsiTheme="minorHAnsi" w:cstheme="minorHAnsi"/>
                <w:b/>
                <w:sz w:val="20"/>
                <w:szCs w:val="20"/>
              </w:rPr>
            </w:pPr>
            <w:r w:rsidRPr="00B80A1C">
              <w:rPr>
                <w:rFonts w:asciiTheme="minorHAnsi" w:hAnsiTheme="minorHAnsi" w:cstheme="minorHAnsi"/>
                <w:b/>
                <w:sz w:val="20"/>
                <w:szCs w:val="20"/>
              </w:rPr>
              <w:t>Subject</w:t>
            </w:r>
          </w:p>
        </w:tc>
        <w:tc>
          <w:tcPr>
            <w:tcW w:w="2461" w:type="dxa"/>
          </w:tcPr>
          <w:p w14:paraId="5E89CD6B" w14:textId="77777777" w:rsidR="005964C3" w:rsidRPr="00B80A1C" w:rsidRDefault="005964C3" w:rsidP="008A5914">
            <w:pPr>
              <w:rPr>
                <w:rFonts w:asciiTheme="minorHAnsi" w:hAnsiTheme="minorHAnsi" w:cstheme="minorHAnsi"/>
                <w:b/>
                <w:sz w:val="20"/>
                <w:szCs w:val="20"/>
              </w:rPr>
            </w:pPr>
            <w:r w:rsidRPr="00B80A1C">
              <w:rPr>
                <w:rFonts w:asciiTheme="minorHAnsi" w:hAnsiTheme="minorHAnsi" w:cstheme="minorHAnsi"/>
                <w:b/>
                <w:sz w:val="20"/>
                <w:szCs w:val="20"/>
              </w:rPr>
              <w:t xml:space="preserve">Risks Identified </w:t>
            </w:r>
          </w:p>
        </w:tc>
        <w:tc>
          <w:tcPr>
            <w:tcW w:w="774" w:type="dxa"/>
          </w:tcPr>
          <w:p w14:paraId="679A59FC" w14:textId="77777777" w:rsidR="005964C3" w:rsidRPr="00B80A1C" w:rsidRDefault="005964C3" w:rsidP="008A5914">
            <w:pPr>
              <w:rPr>
                <w:rFonts w:asciiTheme="minorHAnsi" w:hAnsiTheme="minorHAnsi" w:cstheme="minorHAnsi"/>
                <w:b/>
                <w:sz w:val="20"/>
                <w:szCs w:val="20"/>
              </w:rPr>
            </w:pPr>
            <w:r w:rsidRPr="00B80A1C">
              <w:rPr>
                <w:rFonts w:asciiTheme="minorHAnsi" w:hAnsiTheme="minorHAnsi" w:cstheme="minorHAnsi"/>
                <w:b/>
                <w:sz w:val="20"/>
                <w:szCs w:val="20"/>
              </w:rPr>
              <w:t>H/M/L</w:t>
            </w:r>
          </w:p>
        </w:tc>
        <w:tc>
          <w:tcPr>
            <w:tcW w:w="3092" w:type="dxa"/>
          </w:tcPr>
          <w:p w14:paraId="277B09C4" w14:textId="77777777" w:rsidR="005964C3" w:rsidRPr="00B80A1C" w:rsidRDefault="005964C3" w:rsidP="008A5914">
            <w:pPr>
              <w:rPr>
                <w:rFonts w:asciiTheme="minorHAnsi" w:hAnsiTheme="minorHAnsi" w:cstheme="minorHAnsi"/>
                <w:b/>
                <w:sz w:val="20"/>
                <w:szCs w:val="20"/>
              </w:rPr>
            </w:pPr>
            <w:r w:rsidRPr="00B80A1C">
              <w:rPr>
                <w:rFonts w:asciiTheme="minorHAnsi" w:hAnsiTheme="minorHAnsi" w:cstheme="minorHAnsi"/>
                <w:b/>
                <w:sz w:val="20"/>
                <w:szCs w:val="20"/>
              </w:rPr>
              <w:t>Control of Risk</w:t>
            </w:r>
          </w:p>
        </w:tc>
        <w:tc>
          <w:tcPr>
            <w:tcW w:w="1693" w:type="dxa"/>
          </w:tcPr>
          <w:p w14:paraId="3632694A" w14:textId="77777777" w:rsidR="005964C3" w:rsidRPr="00B80A1C" w:rsidRDefault="005964C3" w:rsidP="008A5914">
            <w:pPr>
              <w:rPr>
                <w:rFonts w:asciiTheme="minorHAnsi" w:hAnsiTheme="minorHAnsi" w:cstheme="minorHAnsi"/>
                <w:b/>
                <w:sz w:val="20"/>
                <w:szCs w:val="20"/>
              </w:rPr>
            </w:pPr>
            <w:r w:rsidRPr="00B80A1C">
              <w:rPr>
                <w:rFonts w:asciiTheme="minorHAnsi" w:hAnsiTheme="minorHAnsi" w:cstheme="minorHAnsi"/>
                <w:b/>
                <w:sz w:val="20"/>
                <w:szCs w:val="20"/>
              </w:rPr>
              <w:t>Assessment</w:t>
            </w:r>
          </w:p>
        </w:tc>
      </w:tr>
      <w:tr w:rsidR="005964C3" w:rsidRPr="00B80A1C" w14:paraId="7183CD9B" w14:textId="77777777" w:rsidTr="008A5914">
        <w:tc>
          <w:tcPr>
            <w:tcW w:w="1473" w:type="dxa"/>
          </w:tcPr>
          <w:p w14:paraId="198C0ECD" w14:textId="77777777" w:rsidR="005964C3" w:rsidRPr="00B80A1C" w:rsidRDefault="005964C3" w:rsidP="008A5914">
            <w:pPr>
              <w:rPr>
                <w:rFonts w:asciiTheme="minorHAnsi" w:hAnsiTheme="minorHAnsi" w:cstheme="minorHAnsi"/>
                <w:b/>
                <w:sz w:val="20"/>
                <w:szCs w:val="20"/>
              </w:rPr>
            </w:pPr>
            <w:r>
              <w:rPr>
                <w:rFonts w:asciiTheme="minorHAnsi" w:hAnsiTheme="minorHAnsi" w:cstheme="minorHAnsi"/>
                <w:b/>
                <w:sz w:val="20"/>
                <w:szCs w:val="20"/>
              </w:rPr>
              <w:t>Management</w:t>
            </w:r>
          </w:p>
        </w:tc>
        <w:tc>
          <w:tcPr>
            <w:tcW w:w="2461" w:type="dxa"/>
          </w:tcPr>
          <w:p w14:paraId="2D2081A6" w14:textId="77777777" w:rsidR="005964C3" w:rsidRPr="00B80A1C" w:rsidRDefault="005964C3" w:rsidP="008A5914">
            <w:pPr>
              <w:rPr>
                <w:rFonts w:asciiTheme="minorHAnsi" w:hAnsiTheme="minorHAnsi" w:cstheme="minorHAnsi"/>
                <w:b/>
                <w:sz w:val="20"/>
                <w:szCs w:val="20"/>
              </w:rPr>
            </w:pPr>
          </w:p>
        </w:tc>
        <w:tc>
          <w:tcPr>
            <w:tcW w:w="774" w:type="dxa"/>
          </w:tcPr>
          <w:p w14:paraId="531A9977" w14:textId="77777777" w:rsidR="005964C3" w:rsidRPr="00B80A1C" w:rsidRDefault="005964C3" w:rsidP="008A5914">
            <w:pPr>
              <w:rPr>
                <w:rFonts w:asciiTheme="minorHAnsi" w:hAnsiTheme="minorHAnsi" w:cstheme="minorHAnsi"/>
                <w:b/>
                <w:sz w:val="20"/>
                <w:szCs w:val="20"/>
              </w:rPr>
            </w:pPr>
          </w:p>
        </w:tc>
        <w:tc>
          <w:tcPr>
            <w:tcW w:w="3092" w:type="dxa"/>
          </w:tcPr>
          <w:p w14:paraId="3E7E541B" w14:textId="77777777" w:rsidR="005964C3" w:rsidRPr="00B80A1C" w:rsidRDefault="005964C3" w:rsidP="008A5914">
            <w:pPr>
              <w:rPr>
                <w:rFonts w:asciiTheme="minorHAnsi" w:hAnsiTheme="minorHAnsi" w:cstheme="minorHAnsi"/>
                <w:b/>
                <w:sz w:val="20"/>
                <w:szCs w:val="20"/>
              </w:rPr>
            </w:pPr>
          </w:p>
        </w:tc>
        <w:tc>
          <w:tcPr>
            <w:tcW w:w="1693" w:type="dxa"/>
          </w:tcPr>
          <w:p w14:paraId="0F6D5C8A" w14:textId="77777777" w:rsidR="005964C3" w:rsidRPr="00B80A1C" w:rsidRDefault="005964C3" w:rsidP="008A5914">
            <w:pPr>
              <w:rPr>
                <w:rFonts w:asciiTheme="minorHAnsi" w:hAnsiTheme="minorHAnsi" w:cstheme="minorHAnsi"/>
                <w:b/>
                <w:sz w:val="20"/>
                <w:szCs w:val="20"/>
              </w:rPr>
            </w:pPr>
          </w:p>
        </w:tc>
      </w:tr>
      <w:tr w:rsidR="005964C3" w:rsidRPr="00B80A1C" w14:paraId="080E8B39" w14:textId="77777777" w:rsidTr="008A5914">
        <w:tc>
          <w:tcPr>
            <w:tcW w:w="1473" w:type="dxa"/>
          </w:tcPr>
          <w:p w14:paraId="6873AB57" w14:textId="2EC21F79" w:rsidR="005964C3" w:rsidRPr="00B80A1C" w:rsidRDefault="005964C3" w:rsidP="008A5914">
            <w:pPr>
              <w:rPr>
                <w:rFonts w:asciiTheme="minorHAnsi" w:hAnsiTheme="minorHAnsi" w:cstheme="minorHAnsi"/>
                <w:sz w:val="20"/>
                <w:szCs w:val="20"/>
              </w:rPr>
            </w:pPr>
            <w:r w:rsidRPr="00B80A1C">
              <w:rPr>
                <w:rFonts w:asciiTheme="minorHAnsi" w:hAnsiTheme="minorHAnsi" w:cstheme="minorHAnsi"/>
                <w:sz w:val="20"/>
                <w:szCs w:val="20"/>
              </w:rPr>
              <w:t>Business Continuity</w:t>
            </w:r>
            <w:r>
              <w:rPr>
                <w:rFonts w:asciiTheme="minorHAnsi" w:hAnsiTheme="minorHAnsi" w:cstheme="minorHAnsi"/>
                <w:sz w:val="20"/>
                <w:szCs w:val="20"/>
              </w:rPr>
              <w:t xml:space="preserve"> </w:t>
            </w:r>
          </w:p>
        </w:tc>
        <w:tc>
          <w:tcPr>
            <w:tcW w:w="2461" w:type="dxa"/>
          </w:tcPr>
          <w:p w14:paraId="38812882" w14:textId="77777777" w:rsidR="005964C3" w:rsidRPr="00B80A1C" w:rsidRDefault="005964C3" w:rsidP="008A5914">
            <w:pPr>
              <w:rPr>
                <w:rFonts w:asciiTheme="minorHAnsi" w:hAnsiTheme="minorHAnsi" w:cstheme="minorHAnsi"/>
                <w:sz w:val="20"/>
                <w:szCs w:val="20"/>
              </w:rPr>
            </w:pPr>
            <w:r w:rsidRPr="00B80A1C">
              <w:rPr>
                <w:rFonts w:asciiTheme="minorHAnsi" w:hAnsiTheme="minorHAnsi" w:cstheme="minorHAnsi"/>
                <w:sz w:val="20"/>
                <w:szCs w:val="20"/>
              </w:rPr>
              <w:t xml:space="preserve">Clerk being suddenly unavailable </w:t>
            </w:r>
          </w:p>
        </w:tc>
        <w:tc>
          <w:tcPr>
            <w:tcW w:w="774" w:type="dxa"/>
          </w:tcPr>
          <w:p w14:paraId="4DFBDF63" w14:textId="77777777" w:rsidR="005964C3" w:rsidRPr="00B80A1C" w:rsidRDefault="005964C3" w:rsidP="008A5914">
            <w:pPr>
              <w:rPr>
                <w:rFonts w:asciiTheme="minorHAnsi" w:hAnsiTheme="minorHAnsi" w:cstheme="minorHAnsi"/>
                <w:sz w:val="20"/>
                <w:szCs w:val="20"/>
              </w:rPr>
            </w:pPr>
            <w:r w:rsidRPr="00B80A1C">
              <w:rPr>
                <w:rFonts w:asciiTheme="minorHAnsi" w:hAnsiTheme="minorHAnsi" w:cstheme="minorHAnsi"/>
                <w:sz w:val="20"/>
                <w:szCs w:val="20"/>
              </w:rPr>
              <w:t>L</w:t>
            </w:r>
          </w:p>
        </w:tc>
        <w:tc>
          <w:tcPr>
            <w:tcW w:w="3092" w:type="dxa"/>
          </w:tcPr>
          <w:p w14:paraId="52B5C2D6"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All files/records stored at Clerks house and electronic files backup to memory stick and cloud (Chairman has access to password for cloud files and clerk email address). HALC membership allows access to emergency Clerk cover and advice.</w:t>
            </w:r>
          </w:p>
        </w:tc>
        <w:tc>
          <w:tcPr>
            <w:tcW w:w="1693" w:type="dxa"/>
          </w:tcPr>
          <w:p w14:paraId="22007ED6"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3A7420B7" w14:textId="77777777" w:rsidTr="008A5914">
        <w:tc>
          <w:tcPr>
            <w:tcW w:w="1473" w:type="dxa"/>
          </w:tcPr>
          <w:p w14:paraId="30FFB504"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Meeting Location</w:t>
            </w:r>
          </w:p>
        </w:tc>
        <w:tc>
          <w:tcPr>
            <w:tcW w:w="2461" w:type="dxa"/>
          </w:tcPr>
          <w:p w14:paraId="5CD033D7"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Adequacy for Health and Safety</w:t>
            </w:r>
          </w:p>
        </w:tc>
        <w:tc>
          <w:tcPr>
            <w:tcW w:w="774" w:type="dxa"/>
          </w:tcPr>
          <w:p w14:paraId="3A61B3B2"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51377F6A"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Meeting held in village hall with key held in key safe. Caretaker/village hall committee have access. Premises considered appropriate from health and safety perspective. </w:t>
            </w:r>
          </w:p>
        </w:tc>
        <w:tc>
          <w:tcPr>
            <w:tcW w:w="1693" w:type="dxa"/>
          </w:tcPr>
          <w:p w14:paraId="591FF7D9"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2A8CAC58" w14:textId="77777777" w:rsidTr="008A5914">
        <w:tc>
          <w:tcPr>
            <w:tcW w:w="1473" w:type="dxa"/>
          </w:tcPr>
          <w:p w14:paraId="1417E101"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Council Records</w:t>
            </w:r>
          </w:p>
        </w:tc>
        <w:tc>
          <w:tcPr>
            <w:tcW w:w="2461" w:type="dxa"/>
          </w:tcPr>
          <w:p w14:paraId="731F92A4"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Loss through theft, fire damage, corruption of computer</w:t>
            </w:r>
          </w:p>
        </w:tc>
        <w:tc>
          <w:tcPr>
            <w:tcW w:w="774" w:type="dxa"/>
          </w:tcPr>
          <w:p w14:paraId="1D498F06"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2A008CF5"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All files/records stored at Clerks house and electronic files backup to memory stick and cloud.</w:t>
            </w:r>
          </w:p>
        </w:tc>
        <w:tc>
          <w:tcPr>
            <w:tcW w:w="1693" w:type="dxa"/>
          </w:tcPr>
          <w:p w14:paraId="722C5A2F"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375893EC" w14:textId="77777777" w:rsidTr="008A5914">
        <w:tc>
          <w:tcPr>
            <w:tcW w:w="1473" w:type="dxa"/>
          </w:tcPr>
          <w:p w14:paraId="71BC7BC4" w14:textId="77777777" w:rsidR="005964C3" w:rsidRPr="00136996" w:rsidRDefault="005964C3" w:rsidP="008A5914">
            <w:pPr>
              <w:rPr>
                <w:rFonts w:asciiTheme="minorHAnsi" w:hAnsiTheme="minorHAnsi" w:cstheme="minorHAnsi"/>
                <w:b/>
                <w:sz w:val="20"/>
                <w:szCs w:val="20"/>
              </w:rPr>
            </w:pPr>
            <w:r w:rsidRPr="00136996">
              <w:rPr>
                <w:rFonts w:asciiTheme="minorHAnsi" w:hAnsiTheme="minorHAnsi" w:cstheme="minorHAnsi"/>
                <w:b/>
                <w:sz w:val="20"/>
                <w:szCs w:val="20"/>
              </w:rPr>
              <w:t>Finance</w:t>
            </w:r>
          </w:p>
        </w:tc>
        <w:tc>
          <w:tcPr>
            <w:tcW w:w="2461" w:type="dxa"/>
          </w:tcPr>
          <w:p w14:paraId="66E4F933" w14:textId="77777777" w:rsidR="005964C3" w:rsidRPr="00B80A1C" w:rsidRDefault="005964C3" w:rsidP="008A5914">
            <w:pPr>
              <w:rPr>
                <w:rFonts w:asciiTheme="minorHAnsi" w:hAnsiTheme="minorHAnsi" w:cstheme="minorHAnsi"/>
                <w:sz w:val="20"/>
                <w:szCs w:val="20"/>
              </w:rPr>
            </w:pPr>
          </w:p>
        </w:tc>
        <w:tc>
          <w:tcPr>
            <w:tcW w:w="774" w:type="dxa"/>
          </w:tcPr>
          <w:p w14:paraId="7939020D" w14:textId="77777777" w:rsidR="005964C3" w:rsidRPr="00B80A1C" w:rsidRDefault="005964C3" w:rsidP="008A5914">
            <w:pPr>
              <w:rPr>
                <w:rFonts w:asciiTheme="minorHAnsi" w:hAnsiTheme="minorHAnsi" w:cstheme="minorHAnsi"/>
                <w:sz w:val="20"/>
                <w:szCs w:val="20"/>
              </w:rPr>
            </w:pPr>
          </w:p>
        </w:tc>
        <w:tc>
          <w:tcPr>
            <w:tcW w:w="3092" w:type="dxa"/>
          </w:tcPr>
          <w:p w14:paraId="1B10957A" w14:textId="77777777" w:rsidR="005964C3" w:rsidRPr="00B80A1C" w:rsidRDefault="005964C3" w:rsidP="008A5914">
            <w:pPr>
              <w:rPr>
                <w:rFonts w:asciiTheme="minorHAnsi" w:hAnsiTheme="minorHAnsi" w:cstheme="minorHAnsi"/>
                <w:sz w:val="20"/>
                <w:szCs w:val="20"/>
              </w:rPr>
            </w:pPr>
          </w:p>
        </w:tc>
        <w:tc>
          <w:tcPr>
            <w:tcW w:w="1693" w:type="dxa"/>
          </w:tcPr>
          <w:p w14:paraId="66431A65" w14:textId="77777777" w:rsidR="005964C3" w:rsidRPr="00B80A1C" w:rsidRDefault="005964C3" w:rsidP="008A5914">
            <w:pPr>
              <w:rPr>
                <w:rFonts w:asciiTheme="minorHAnsi" w:hAnsiTheme="minorHAnsi" w:cstheme="minorHAnsi"/>
                <w:sz w:val="20"/>
                <w:szCs w:val="20"/>
              </w:rPr>
            </w:pPr>
          </w:p>
        </w:tc>
      </w:tr>
      <w:tr w:rsidR="005964C3" w:rsidRPr="00B80A1C" w14:paraId="235EE09A" w14:textId="77777777" w:rsidTr="008A5914">
        <w:tc>
          <w:tcPr>
            <w:tcW w:w="1473" w:type="dxa"/>
          </w:tcPr>
          <w:p w14:paraId="5C2F888B"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Precept</w:t>
            </w:r>
          </w:p>
        </w:tc>
        <w:tc>
          <w:tcPr>
            <w:tcW w:w="2461" w:type="dxa"/>
          </w:tcPr>
          <w:p w14:paraId="26962519"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Adequacy of Precept</w:t>
            </w:r>
          </w:p>
        </w:tc>
        <w:tc>
          <w:tcPr>
            <w:tcW w:w="774" w:type="dxa"/>
          </w:tcPr>
          <w:p w14:paraId="6919F96F"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248310DC"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Sound budgeting to underlie annual precept. Reserves plan identifies future projects and financial requirements. Regular budget updates received. </w:t>
            </w:r>
          </w:p>
        </w:tc>
        <w:tc>
          <w:tcPr>
            <w:tcW w:w="1693" w:type="dxa"/>
          </w:tcPr>
          <w:p w14:paraId="532A9339"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1E0B24AA" w14:textId="77777777" w:rsidTr="008A5914">
        <w:tc>
          <w:tcPr>
            <w:tcW w:w="1473" w:type="dxa"/>
          </w:tcPr>
          <w:p w14:paraId="09DB4732" w14:textId="683E3D38"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Insurance </w:t>
            </w:r>
          </w:p>
        </w:tc>
        <w:tc>
          <w:tcPr>
            <w:tcW w:w="2461" w:type="dxa"/>
          </w:tcPr>
          <w:p w14:paraId="3C46F51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Adequacy/cost/Compliance</w:t>
            </w:r>
          </w:p>
          <w:p w14:paraId="09349E51"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/Fidelity Guarantee</w:t>
            </w:r>
          </w:p>
        </w:tc>
        <w:tc>
          <w:tcPr>
            <w:tcW w:w="774" w:type="dxa"/>
          </w:tcPr>
          <w:p w14:paraId="42AA36AF"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1700A654"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Annual review of all insurance arrangement undertaken.</w:t>
            </w:r>
          </w:p>
          <w:p w14:paraId="0EF99453"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Employers Liability, Public Liability and Fidelity Guarantee statutory requirements.</w:t>
            </w:r>
          </w:p>
        </w:tc>
        <w:tc>
          <w:tcPr>
            <w:tcW w:w="1693" w:type="dxa"/>
          </w:tcPr>
          <w:p w14:paraId="17BBE349" w14:textId="77777777" w:rsidR="005964C3" w:rsidRPr="00B80A1C" w:rsidRDefault="005964C3" w:rsidP="008A5914">
            <w:pPr>
              <w:rPr>
                <w:rFonts w:asciiTheme="minorHAnsi" w:hAnsiTheme="minorHAnsi" w:cstheme="minorHAnsi"/>
                <w:sz w:val="20"/>
                <w:szCs w:val="20"/>
              </w:rPr>
            </w:pPr>
            <w:r>
              <w:rPr>
                <w:rFonts w:asciiTheme="minorHAnsi" w:hAnsiTheme="minorHAnsi" w:cstheme="minorHAnsi"/>
                <w:sz w:val="20"/>
                <w:szCs w:val="20"/>
              </w:rPr>
              <w:t>Cover to be reviewed annually</w:t>
            </w:r>
          </w:p>
        </w:tc>
      </w:tr>
      <w:tr w:rsidR="005964C3" w:rsidRPr="00B80A1C" w14:paraId="60C7AF12" w14:textId="77777777" w:rsidTr="008A5914">
        <w:tc>
          <w:tcPr>
            <w:tcW w:w="1473" w:type="dxa"/>
          </w:tcPr>
          <w:p w14:paraId="2C8A49A1"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lastRenderedPageBreak/>
              <w:t>Banking</w:t>
            </w:r>
          </w:p>
        </w:tc>
        <w:tc>
          <w:tcPr>
            <w:tcW w:w="2461" w:type="dxa"/>
          </w:tcPr>
          <w:p w14:paraId="50375DF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Inadequate checks</w:t>
            </w:r>
          </w:p>
        </w:tc>
        <w:tc>
          <w:tcPr>
            <w:tcW w:w="774" w:type="dxa"/>
          </w:tcPr>
          <w:p w14:paraId="771D64B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3DAE787B"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Financial regulations in place setting out requirements for banking, cheques and reconciliation of accounts.</w:t>
            </w:r>
          </w:p>
        </w:tc>
        <w:tc>
          <w:tcPr>
            <w:tcW w:w="1693" w:type="dxa"/>
          </w:tcPr>
          <w:p w14:paraId="6950EE0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Review financial regulations as necessary</w:t>
            </w:r>
          </w:p>
        </w:tc>
      </w:tr>
      <w:tr w:rsidR="005964C3" w:rsidRPr="00B80A1C" w14:paraId="72E1888E" w14:textId="77777777" w:rsidTr="008A5914">
        <w:tc>
          <w:tcPr>
            <w:tcW w:w="1473" w:type="dxa"/>
          </w:tcPr>
          <w:p w14:paraId="67943867"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Cash</w:t>
            </w:r>
          </w:p>
        </w:tc>
        <w:tc>
          <w:tcPr>
            <w:tcW w:w="2461" w:type="dxa"/>
          </w:tcPr>
          <w:p w14:paraId="3C44B2B7"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Loss through dishonesty or theft</w:t>
            </w:r>
          </w:p>
        </w:tc>
        <w:tc>
          <w:tcPr>
            <w:tcW w:w="774" w:type="dxa"/>
          </w:tcPr>
          <w:p w14:paraId="3288F484"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4B194438" w14:textId="76919F40" w:rsidR="005964C3" w:rsidRDefault="005964C3" w:rsidP="008A5914">
            <w:pPr>
              <w:rPr>
                <w:rFonts w:asciiTheme="minorHAnsi" w:hAnsiTheme="minorHAnsi" w:cstheme="minorHAnsi"/>
                <w:sz w:val="20"/>
                <w:szCs w:val="20"/>
              </w:rPr>
            </w:pPr>
            <w:r>
              <w:rPr>
                <w:rFonts w:asciiTheme="minorHAnsi" w:hAnsiTheme="minorHAnsi" w:cstheme="minorHAnsi"/>
                <w:sz w:val="20"/>
                <w:szCs w:val="20"/>
              </w:rPr>
              <w:t>No petty cash held. Any cash</w:t>
            </w:r>
            <w:r w:rsidR="00C73A23">
              <w:rPr>
                <w:rFonts w:asciiTheme="minorHAnsi" w:hAnsiTheme="minorHAnsi" w:cstheme="minorHAnsi"/>
                <w:sz w:val="20"/>
                <w:szCs w:val="20"/>
              </w:rPr>
              <w:t xml:space="preserve">/card </w:t>
            </w:r>
            <w:r>
              <w:rPr>
                <w:rFonts w:asciiTheme="minorHAnsi" w:hAnsiTheme="minorHAnsi" w:cstheme="minorHAnsi"/>
                <w:sz w:val="20"/>
                <w:szCs w:val="20"/>
              </w:rPr>
              <w:t>transactions by Clerk are fully receipted and reimbursed on receipt of an invoice and receipts.</w:t>
            </w:r>
          </w:p>
        </w:tc>
        <w:tc>
          <w:tcPr>
            <w:tcW w:w="1693" w:type="dxa"/>
          </w:tcPr>
          <w:p w14:paraId="235AF12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5B6ACE94" w14:textId="77777777" w:rsidTr="008A5914">
        <w:tc>
          <w:tcPr>
            <w:tcW w:w="1473" w:type="dxa"/>
          </w:tcPr>
          <w:p w14:paraId="51409C4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Financial Controls and records</w:t>
            </w:r>
          </w:p>
        </w:tc>
        <w:tc>
          <w:tcPr>
            <w:tcW w:w="2461" w:type="dxa"/>
          </w:tcPr>
          <w:p w14:paraId="36B94BC1"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Inadequate Checks</w:t>
            </w:r>
          </w:p>
        </w:tc>
        <w:tc>
          <w:tcPr>
            <w:tcW w:w="774" w:type="dxa"/>
          </w:tcPr>
          <w:p w14:paraId="7D9C08C5"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66096FB7"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Financial regulations in place. Controls and records checked by internal and external audit. </w:t>
            </w:r>
          </w:p>
        </w:tc>
        <w:tc>
          <w:tcPr>
            <w:tcW w:w="1693" w:type="dxa"/>
          </w:tcPr>
          <w:p w14:paraId="130FACF4"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45D972E0" w14:textId="77777777" w:rsidTr="008A5914">
        <w:tc>
          <w:tcPr>
            <w:tcW w:w="1473" w:type="dxa"/>
          </w:tcPr>
          <w:p w14:paraId="2B83D79D"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Freedom of Information Act/GDPR  </w:t>
            </w:r>
          </w:p>
        </w:tc>
        <w:tc>
          <w:tcPr>
            <w:tcW w:w="2461" w:type="dxa"/>
          </w:tcPr>
          <w:p w14:paraId="7BF35F5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Policy Provision</w:t>
            </w:r>
          </w:p>
        </w:tc>
        <w:tc>
          <w:tcPr>
            <w:tcW w:w="774" w:type="dxa"/>
          </w:tcPr>
          <w:p w14:paraId="429CE35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17C9977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The Council has adopted a model publication scheme and data protection policies. </w:t>
            </w:r>
          </w:p>
        </w:tc>
        <w:tc>
          <w:tcPr>
            <w:tcW w:w="1693" w:type="dxa"/>
          </w:tcPr>
          <w:p w14:paraId="2BC52998"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Monitor any FOI request impact on workload</w:t>
            </w:r>
          </w:p>
        </w:tc>
      </w:tr>
      <w:tr w:rsidR="005964C3" w:rsidRPr="00B80A1C" w14:paraId="4008282B" w14:textId="77777777" w:rsidTr="008A5914">
        <w:tc>
          <w:tcPr>
            <w:tcW w:w="1473" w:type="dxa"/>
          </w:tcPr>
          <w:p w14:paraId="4218E03B" w14:textId="36BF8C7F"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Election costs </w:t>
            </w:r>
          </w:p>
        </w:tc>
        <w:tc>
          <w:tcPr>
            <w:tcW w:w="2461" w:type="dxa"/>
          </w:tcPr>
          <w:p w14:paraId="4F5EFDA4"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Risk of additional costs</w:t>
            </w:r>
          </w:p>
        </w:tc>
        <w:tc>
          <w:tcPr>
            <w:tcW w:w="774" w:type="dxa"/>
          </w:tcPr>
          <w:p w14:paraId="0A355DFD"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3C636B7B"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General Reserves include amount to cover any election costs.</w:t>
            </w:r>
          </w:p>
        </w:tc>
        <w:tc>
          <w:tcPr>
            <w:tcW w:w="1693" w:type="dxa"/>
          </w:tcPr>
          <w:p w14:paraId="4D1F2CD8"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31968EB9" w14:textId="77777777" w:rsidTr="008A5914">
        <w:tc>
          <w:tcPr>
            <w:tcW w:w="1473" w:type="dxa"/>
          </w:tcPr>
          <w:p w14:paraId="13F9E15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VAT</w:t>
            </w:r>
          </w:p>
        </w:tc>
        <w:tc>
          <w:tcPr>
            <w:tcW w:w="2461" w:type="dxa"/>
          </w:tcPr>
          <w:p w14:paraId="7445EF9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Reclaiming</w:t>
            </w:r>
          </w:p>
        </w:tc>
        <w:tc>
          <w:tcPr>
            <w:tcW w:w="774" w:type="dxa"/>
          </w:tcPr>
          <w:p w14:paraId="3A06384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1BAA829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Clerk reclaims at least twice per year and this is reported to Council</w:t>
            </w:r>
          </w:p>
        </w:tc>
        <w:tc>
          <w:tcPr>
            <w:tcW w:w="1693" w:type="dxa"/>
          </w:tcPr>
          <w:p w14:paraId="775FCF09"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74CD4FE5" w14:textId="77777777" w:rsidTr="008A5914">
        <w:tc>
          <w:tcPr>
            <w:tcW w:w="1473" w:type="dxa"/>
          </w:tcPr>
          <w:p w14:paraId="77EE0BD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Annual Return</w:t>
            </w:r>
          </w:p>
        </w:tc>
        <w:tc>
          <w:tcPr>
            <w:tcW w:w="2461" w:type="dxa"/>
          </w:tcPr>
          <w:p w14:paraId="02487579"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Not submitted in time</w:t>
            </w:r>
          </w:p>
        </w:tc>
        <w:tc>
          <w:tcPr>
            <w:tcW w:w="774" w:type="dxa"/>
          </w:tcPr>
          <w:p w14:paraId="30CF51F0"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1C8739C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Clerk is responsible for ensuring deadlines are met.</w:t>
            </w:r>
          </w:p>
        </w:tc>
        <w:tc>
          <w:tcPr>
            <w:tcW w:w="1693" w:type="dxa"/>
          </w:tcPr>
          <w:p w14:paraId="0ABFA298"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093C927C" w14:textId="77777777" w:rsidTr="008A5914">
        <w:tc>
          <w:tcPr>
            <w:tcW w:w="1473" w:type="dxa"/>
          </w:tcPr>
          <w:p w14:paraId="037F0A9E" w14:textId="77777777" w:rsidR="005964C3" w:rsidRPr="00071903" w:rsidRDefault="005964C3" w:rsidP="008A5914">
            <w:pPr>
              <w:rPr>
                <w:rFonts w:asciiTheme="minorHAnsi" w:hAnsiTheme="minorHAnsi" w:cstheme="minorHAnsi"/>
                <w:b/>
                <w:sz w:val="20"/>
                <w:szCs w:val="20"/>
              </w:rPr>
            </w:pPr>
            <w:r w:rsidRPr="00071903">
              <w:rPr>
                <w:rFonts w:asciiTheme="minorHAnsi" w:hAnsiTheme="minorHAnsi" w:cstheme="minorHAnsi"/>
                <w:b/>
                <w:sz w:val="20"/>
                <w:szCs w:val="20"/>
              </w:rPr>
              <w:t>Assets</w:t>
            </w:r>
          </w:p>
        </w:tc>
        <w:tc>
          <w:tcPr>
            <w:tcW w:w="2461" w:type="dxa"/>
          </w:tcPr>
          <w:p w14:paraId="3BC6FDC8" w14:textId="77777777" w:rsidR="005964C3" w:rsidRDefault="005964C3" w:rsidP="008A5914">
            <w:pPr>
              <w:rPr>
                <w:rFonts w:asciiTheme="minorHAnsi" w:hAnsiTheme="minorHAnsi" w:cstheme="minorHAnsi"/>
                <w:sz w:val="20"/>
                <w:szCs w:val="20"/>
              </w:rPr>
            </w:pPr>
          </w:p>
        </w:tc>
        <w:tc>
          <w:tcPr>
            <w:tcW w:w="774" w:type="dxa"/>
          </w:tcPr>
          <w:p w14:paraId="5C02A5D7" w14:textId="77777777" w:rsidR="005964C3" w:rsidRDefault="005964C3" w:rsidP="008A5914">
            <w:pPr>
              <w:rPr>
                <w:rFonts w:asciiTheme="minorHAnsi" w:hAnsiTheme="minorHAnsi" w:cstheme="minorHAnsi"/>
                <w:sz w:val="20"/>
                <w:szCs w:val="20"/>
              </w:rPr>
            </w:pPr>
          </w:p>
        </w:tc>
        <w:tc>
          <w:tcPr>
            <w:tcW w:w="3092" w:type="dxa"/>
          </w:tcPr>
          <w:p w14:paraId="6CA10E2E" w14:textId="77777777" w:rsidR="005964C3" w:rsidRDefault="005964C3" w:rsidP="008A5914">
            <w:pPr>
              <w:rPr>
                <w:rFonts w:asciiTheme="minorHAnsi" w:hAnsiTheme="minorHAnsi" w:cstheme="minorHAnsi"/>
                <w:sz w:val="20"/>
                <w:szCs w:val="20"/>
              </w:rPr>
            </w:pPr>
          </w:p>
        </w:tc>
        <w:tc>
          <w:tcPr>
            <w:tcW w:w="1693" w:type="dxa"/>
          </w:tcPr>
          <w:p w14:paraId="79A9FC2F" w14:textId="77777777" w:rsidR="005964C3" w:rsidRDefault="005964C3" w:rsidP="008A5914">
            <w:pPr>
              <w:rPr>
                <w:rFonts w:asciiTheme="minorHAnsi" w:hAnsiTheme="minorHAnsi" w:cstheme="minorHAnsi"/>
                <w:sz w:val="20"/>
                <w:szCs w:val="20"/>
              </w:rPr>
            </w:pPr>
          </w:p>
        </w:tc>
      </w:tr>
      <w:tr w:rsidR="005964C3" w:rsidRPr="00B80A1C" w14:paraId="051403B2" w14:textId="77777777" w:rsidTr="008A5914">
        <w:tc>
          <w:tcPr>
            <w:tcW w:w="1473" w:type="dxa"/>
          </w:tcPr>
          <w:p w14:paraId="73CC58D0"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Benches/play equipment/SID and other items</w:t>
            </w:r>
          </w:p>
        </w:tc>
        <w:tc>
          <w:tcPr>
            <w:tcW w:w="2461" w:type="dxa"/>
          </w:tcPr>
          <w:p w14:paraId="0178257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Damage to Parish Council assets</w:t>
            </w:r>
          </w:p>
        </w:tc>
        <w:tc>
          <w:tcPr>
            <w:tcW w:w="774" w:type="dxa"/>
          </w:tcPr>
          <w:p w14:paraId="7943050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1B2598FF"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Asset register is kept up to date and insurance is maintained at the appropriate level. Councillors undertake regular visual inspections of all assets.</w:t>
            </w:r>
          </w:p>
        </w:tc>
        <w:tc>
          <w:tcPr>
            <w:tcW w:w="1693" w:type="dxa"/>
          </w:tcPr>
          <w:p w14:paraId="0C6B226A"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4DFFB77B" w14:textId="77777777" w:rsidTr="008A5914">
        <w:tc>
          <w:tcPr>
            <w:tcW w:w="1473" w:type="dxa"/>
          </w:tcPr>
          <w:p w14:paraId="6BDE6634" w14:textId="77777777" w:rsidR="005964C3" w:rsidRPr="003D5B84" w:rsidRDefault="005964C3" w:rsidP="008A5914">
            <w:pPr>
              <w:rPr>
                <w:rFonts w:asciiTheme="minorHAnsi" w:hAnsiTheme="minorHAnsi" w:cstheme="minorHAnsi"/>
                <w:b/>
                <w:sz w:val="20"/>
                <w:szCs w:val="20"/>
              </w:rPr>
            </w:pPr>
            <w:r w:rsidRPr="003D5B84">
              <w:rPr>
                <w:rFonts w:asciiTheme="minorHAnsi" w:hAnsiTheme="minorHAnsi" w:cstheme="minorHAnsi"/>
                <w:b/>
                <w:sz w:val="20"/>
                <w:szCs w:val="20"/>
              </w:rPr>
              <w:t>Liabilities</w:t>
            </w:r>
          </w:p>
        </w:tc>
        <w:tc>
          <w:tcPr>
            <w:tcW w:w="2461" w:type="dxa"/>
          </w:tcPr>
          <w:p w14:paraId="4E03CEFA" w14:textId="77777777" w:rsidR="005964C3" w:rsidRDefault="005964C3" w:rsidP="008A5914">
            <w:pPr>
              <w:rPr>
                <w:rFonts w:asciiTheme="minorHAnsi" w:hAnsiTheme="minorHAnsi" w:cstheme="minorHAnsi"/>
                <w:sz w:val="20"/>
                <w:szCs w:val="20"/>
              </w:rPr>
            </w:pPr>
          </w:p>
        </w:tc>
        <w:tc>
          <w:tcPr>
            <w:tcW w:w="774" w:type="dxa"/>
          </w:tcPr>
          <w:p w14:paraId="032830DB" w14:textId="77777777" w:rsidR="005964C3" w:rsidRDefault="005964C3" w:rsidP="008A5914">
            <w:pPr>
              <w:rPr>
                <w:rFonts w:asciiTheme="minorHAnsi" w:hAnsiTheme="minorHAnsi" w:cstheme="minorHAnsi"/>
                <w:sz w:val="20"/>
                <w:szCs w:val="20"/>
              </w:rPr>
            </w:pPr>
          </w:p>
        </w:tc>
        <w:tc>
          <w:tcPr>
            <w:tcW w:w="3092" w:type="dxa"/>
          </w:tcPr>
          <w:p w14:paraId="37E6E17B" w14:textId="77777777" w:rsidR="005964C3" w:rsidRDefault="005964C3" w:rsidP="008A5914">
            <w:pPr>
              <w:rPr>
                <w:rFonts w:asciiTheme="minorHAnsi" w:hAnsiTheme="minorHAnsi" w:cstheme="minorHAnsi"/>
                <w:sz w:val="20"/>
                <w:szCs w:val="20"/>
              </w:rPr>
            </w:pPr>
          </w:p>
        </w:tc>
        <w:tc>
          <w:tcPr>
            <w:tcW w:w="1693" w:type="dxa"/>
          </w:tcPr>
          <w:p w14:paraId="2F64EDB3" w14:textId="77777777" w:rsidR="005964C3" w:rsidRDefault="005964C3" w:rsidP="008A5914">
            <w:pPr>
              <w:rPr>
                <w:rFonts w:asciiTheme="minorHAnsi" w:hAnsiTheme="minorHAnsi" w:cstheme="minorHAnsi"/>
                <w:sz w:val="20"/>
                <w:szCs w:val="20"/>
              </w:rPr>
            </w:pPr>
          </w:p>
        </w:tc>
      </w:tr>
      <w:tr w:rsidR="005964C3" w:rsidRPr="00B80A1C" w14:paraId="7F579D44" w14:textId="77777777" w:rsidTr="008A5914">
        <w:tc>
          <w:tcPr>
            <w:tcW w:w="1473" w:type="dxa"/>
          </w:tcPr>
          <w:p w14:paraId="662EC026" w14:textId="6D7DC75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Public Liability </w:t>
            </w:r>
          </w:p>
        </w:tc>
        <w:tc>
          <w:tcPr>
            <w:tcW w:w="2461" w:type="dxa"/>
          </w:tcPr>
          <w:p w14:paraId="2A8E632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Risk to third party, property or individuals</w:t>
            </w:r>
          </w:p>
        </w:tc>
        <w:tc>
          <w:tcPr>
            <w:tcW w:w="774" w:type="dxa"/>
          </w:tcPr>
          <w:p w14:paraId="337F620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38DFA418" w14:textId="030E969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Insurance is in place. </w:t>
            </w:r>
            <w:r w:rsidR="00FC4C23">
              <w:rPr>
                <w:rFonts w:asciiTheme="minorHAnsi" w:hAnsiTheme="minorHAnsi" w:cstheme="minorHAnsi"/>
                <w:sz w:val="20"/>
                <w:szCs w:val="20"/>
              </w:rPr>
              <w:t xml:space="preserve">Twice Monthly visual inspection of all Parish Council land and equipment </w:t>
            </w:r>
            <w:r w:rsidR="00C73A23">
              <w:rPr>
                <w:rFonts w:asciiTheme="minorHAnsi" w:hAnsiTheme="minorHAnsi" w:cstheme="minorHAnsi"/>
                <w:sz w:val="20"/>
                <w:szCs w:val="20"/>
              </w:rPr>
              <w:t>undertaken,</w:t>
            </w:r>
            <w:r w:rsidR="003D572C">
              <w:rPr>
                <w:rFonts w:asciiTheme="minorHAnsi" w:hAnsiTheme="minorHAnsi" w:cstheme="minorHAnsi"/>
                <w:sz w:val="20"/>
                <w:szCs w:val="20"/>
              </w:rPr>
              <w:t xml:space="preserve"> and records kept</w:t>
            </w:r>
            <w:r>
              <w:rPr>
                <w:rFonts w:asciiTheme="minorHAnsi" w:hAnsiTheme="minorHAnsi" w:cstheme="minorHAnsi"/>
                <w:sz w:val="20"/>
                <w:szCs w:val="20"/>
              </w:rPr>
              <w:t>.</w:t>
            </w:r>
            <w:r w:rsidR="00FC4C23">
              <w:rPr>
                <w:rFonts w:asciiTheme="minorHAnsi" w:hAnsiTheme="minorHAnsi" w:cstheme="minorHAnsi"/>
                <w:sz w:val="20"/>
                <w:szCs w:val="20"/>
              </w:rPr>
              <w:t xml:space="preserve"> Annual external play equipment inspection in place. </w:t>
            </w:r>
            <w:r>
              <w:rPr>
                <w:rFonts w:asciiTheme="minorHAnsi" w:hAnsiTheme="minorHAnsi" w:cstheme="minorHAnsi"/>
                <w:sz w:val="20"/>
                <w:szCs w:val="20"/>
              </w:rPr>
              <w:t xml:space="preserve"> Risk assessment for any individual event will be undertaken. </w:t>
            </w:r>
          </w:p>
        </w:tc>
        <w:tc>
          <w:tcPr>
            <w:tcW w:w="1693" w:type="dxa"/>
          </w:tcPr>
          <w:p w14:paraId="76A6FD7D"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23CB1697" w14:textId="77777777" w:rsidTr="008A5914">
        <w:tc>
          <w:tcPr>
            <w:tcW w:w="1473" w:type="dxa"/>
          </w:tcPr>
          <w:p w14:paraId="5F393974"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Legal Powers and legal liability</w:t>
            </w:r>
          </w:p>
        </w:tc>
        <w:tc>
          <w:tcPr>
            <w:tcW w:w="2461" w:type="dxa"/>
          </w:tcPr>
          <w:p w14:paraId="315E0BC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Illegal activity or payments</w:t>
            </w:r>
          </w:p>
        </w:tc>
        <w:tc>
          <w:tcPr>
            <w:tcW w:w="774" w:type="dxa"/>
          </w:tcPr>
          <w:p w14:paraId="7FF7B08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tc>
        <w:tc>
          <w:tcPr>
            <w:tcW w:w="3092" w:type="dxa"/>
          </w:tcPr>
          <w:p w14:paraId="5C3D25C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All activity and payments made within the defined powers of the Parish Council. Advice sought from HALC when required. All decisions clearly </w:t>
            </w:r>
            <w:proofErr w:type="spellStart"/>
            <w:r>
              <w:rPr>
                <w:rFonts w:asciiTheme="minorHAnsi" w:hAnsiTheme="minorHAnsi" w:cstheme="minorHAnsi"/>
                <w:sz w:val="20"/>
                <w:szCs w:val="20"/>
              </w:rPr>
              <w:t>minuted</w:t>
            </w:r>
            <w:proofErr w:type="spellEnd"/>
            <w:r>
              <w:rPr>
                <w:rFonts w:asciiTheme="minorHAnsi" w:hAnsiTheme="minorHAnsi" w:cstheme="minorHAnsi"/>
                <w:sz w:val="20"/>
                <w:szCs w:val="20"/>
              </w:rPr>
              <w:t>.</w:t>
            </w:r>
          </w:p>
        </w:tc>
        <w:tc>
          <w:tcPr>
            <w:tcW w:w="1693" w:type="dxa"/>
          </w:tcPr>
          <w:p w14:paraId="30E0312B"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tc>
      </w:tr>
      <w:tr w:rsidR="005964C3" w:rsidRPr="00B80A1C" w14:paraId="69EA5E68" w14:textId="77777777" w:rsidTr="008A5914">
        <w:tc>
          <w:tcPr>
            <w:tcW w:w="1473" w:type="dxa"/>
          </w:tcPr>
          <w:p w14:paraId="412E5BC6"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Minutes/</w:t>
            </w:r>
          </w:p>
          <w:p w14:paraId="2A83884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Agendas/</w:t>
            </w:r>
          </w:p>
          <w:p w14:paraId="130F10D7"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Statutory Documents</w:t>
            </w:r>
          </w:p>
        </w:tc>
        <w:tc>
          <w:tcPr>
            <w:tcW w:w="2461" w:type="dxa"/>
          </w:tcPr>
          <w:p w14:paraId="4405B8CF"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Accuracy and legality/ non-compliance with statutory requirements</w:t>
            </w:r>
          </w:p>
        </w:tc>
        <w:tc>
          <w:tcPr>
            <w:tcW w:w="774" w:type="dxa"/>
          </w:tcPr>
          <w:p w14:paraId="2A8FB996"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66CF87E8"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Minutes adhere to legal requirements and are approved and signed and available on parish council website. Clerk receives and circulates HALC briefings and attends training to ensure council is up to date with current requirements.  Standing Orders reviewed annually.</w:t>
            </w:r>
          </w:p>
        </w:tc>
        <w:tc>
          <w:tcPr>
            <w:tcW w:w="1693" w:type="dxa"/>
          </w:tcPr>
          <w:p w14:paraId="429DB60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p w14:paraId="375C45B1"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Review standing orders annually.</w:t>
            </w:r>
          </w:p>
        </w:tc>
      </w:tr>
      <w:tr w:rsidR="005964C3" w:rsidRPr="00B80A1C" w14:paraId="46CD7A5C" w14:textId="77777777" w:rsidTr="008A5914">
        <w:tc>
          <w:tcPr>
            <w:tcW w:w="1473" w:type="dxa"/>
          </w:tcPr>
          <w:p w14:paraId="5F34A414" w14:textId="77777777" w:rsidR="005964C3" w:rsidRPr="00E16C4A" w:rsidRDefault="005964C3" w:rsidP="008A5914">
            <w:pPr>
              <w:rPr>
                <w:rFonts w:asciiTheme="minorHAnsi" w:hAnsiTheme="minorHAnsi" w:cstheme="minorHAnsi"/>
                <w:b/>
                <w:sz w:val="20"/>
                <w:szCs w:val="20"/>
              </w:rPr>
            </w:pPr>
            <w:r w:rsidRPr="00E16C4A">
              <w:rPr>
                <w:rFonts w:asciiTheme="minorHAnsi" w:hAnsiTheme="minorHAnsi" w:cstheme="minorHAnsi"/>
                <w:b/>
                <w:sz w:val="20"/>
                <w:szCs w:val="20"/>
              </w:rPr>
              <w:t>Contractors</w:t>
            </w:r>
          </w:p>
        </w:tc>
        <w:tc>
          <w:tcPr>
            <w:tcW w:w="2461" w:type="dxa"/>
          </w:tcPr>
          <w:p w14:paraId="01878D7A" w14:textId="77777777" w:rsidR="005964C3" w:rsidRDefault="005964C3" w:rsidP="008A5914">
            <w:pPr>
              <w:rPr>
                <w:rFonts w:asciiTheme="minorHAnsi" w:hAnsiTheme="minorHAnsi" w:cstheme="minorHAnsi"/>
                <w:sz w:val="20"/>
                <w:szCs w:val="20"/>
              </w:rPr>
            </w:pPr>
          </w:p>
        </w:tc>
        <w:tc>
          <w:tcPr>
            <w:tcW w:w="774" w:type="dxa"/>
          </w:tcPr>
          <w:p w14:paraId="484B3E9D" w14:textId="77777777" w:rsidR="005964C3" w:rsidRDefault="005964C3" w:rsidP="008A5914">
            <w:pPr>
              <w:rPr>
                <w:rFonts w:asciiTheme="minorHAnsi" w:hAnsiTheme="minorHAnsi" w:cstheme="minorHAnsi"/>
                <w:sz w:val="20"/>
                <w:szCs w:val="20"/>
              </w:rPr>
            </w:pPr>
          </w:p>
        </w:tc>
        <w:tc>
          <w:tcPr>
            <w:tcW w:w="3092" w:type="dxa"/>
          </w:tcPr>
          <w:p w14:paraId="09ADD6D8" w14:textId="77777777" w:rsidR="005964C3" w:rsidRDefault="005964C3" w:rsidP="008A5914">
            <w:pPr>
              <w:rPr>
                <w:rFonts w:asciiTheme="minorHAnsi" w:hAnsiTheme="minorHAnsi" w:cstheme="minorHAnsi"/>
                <w:sz w:val="20"/>
                <w:szCs w:val="20"/>
              </w:rPr>
            </w:pPr>
          </w:p>
        </w:tc>
        <w:tc>
          <w:tcPr>
            <w:tcW w:w="1693" w:type="dxa"/>
          </w:tcPr>
          <w:p w14:paraId="6D17D82F" w14:textId="77777777" w:rsidR="005964C3" w:rsidRDefault="005964C3" w:rsidP="008A5914">
            <w:pPr>
              <w:rPr>
                <w:rFonts w:asciiTheme="minorHAnsi" w:hAnsiTheme="minorHAnsi" w:cstheme="minorHAnsi"/>
                <w:sz w:val="20"/>
                <w:szCs w:val="20"/>
              </w:rPr>
            </w:pPr>
          </w:p>
        </w:tc>
      </w:tr>
      <w:tr w:rsidR="005964C3" w:rsidRPr="00B80A1C" w14:paraId="21CC37CD" w14:textId="77777777" w:rsidTr="008A5914">
        <w:tc>
          <w:tcPr>
            <w:tcW w:w="1473" w:type="dxa"/>
          </w:tcPr>
          <w:p w14:paraId="53DBFBDB"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Contractors</w:t>
            </w:r>
          </w:p>
        </w:tc>
        <w:tc>
          <w:tcPr>
            <w:tcW w:w="2461" w:type="dxa"/>
          </w:tcPr>
          <w:p w14:paraId="3959D1A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Non-compliant with terms of contract</w:t>
            </w:r>
          </w:p>
        </w:tc>
        <w:tc>
          <w:tcPr>
            <w:tcW w:w="774" w:type="dxa"/>
          </w:tcPr>
          <w:p w14:paraId="45CBFBDC"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3D89EFC1"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Review contracts annually </w:t>
            </w:r>
          </w:p>
        </w:tc>
        <w:tc>
          <w:tcPr>
            <w:tcW w:w="1693" w:type="dxa"/>
          </w:tcPr>
          <w:p w14:paraId="6FBF87DE"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Review contracts annually</w:t>
            </w:r>
          </w:p>
        </w:tc>
      </w:tr>
    </w:tbl>
    <w:p w14:paraId="32857988" w14:textId="77777777" w:rsidR="005964C3" w:rsidRDefault="005964C3" w:rsidP="005964C3">
      <w:r>
        <w:br w:type="page"/>
      </w:r>
    </w:p>
    <w:tbl>
      <w:tblPr>
        <w:tblStyle w:val="TableGrid"/>
        <w:tblW w:w="9493" w:type="dxa"/>
        <w:tblLook w:val="04A0" w:firstRow="1" w:lastRow="0" w:firstColumn="1" w:lastColumn="0" w:noHBand="0" w:noVBand="1"/>
      </w:tblPr>
      <w:tblGrid>
        <w:gridCol w:w="1473"/>
        <w:gridCol w:w="2461"/>
        <w:gridCol w:w="774"/>
        <w:gridCol w:w="3092"/>
        <w:gridCol w:w="1693"/>
      </w:tblGrid>
      <w:tr w:rsidR="005964C3" w:rsidRPr="00B80A1C" w14:paraId="5ADB8C27" w14:textId="77777777" w:rsidTr="008A5914">
        <w:tc>
          <w:tcPr>
            <w:tcW w:w="1473" w:type="dxa"/>
          </w:tcPr>
          <w:p w14:paraId="459429E0" w14:textId="77777777" w:rsidR="005964C3" w:rsidRPr="00E16C4A" w:rsidRDefault="005964C3" w:rsidP="008A5914">
            <w:pPr>
              <w:rPr>
                <w:rFonts w:asciiTheme="minorHAnsi" w:hAnsiTheme="minorHAnsi" w:cstheme="minorHAnsi"/>
                <w:b/>
                <w:sz w:val="20"/>
                <w:szCs w:val="20"/>
              </w:rPr>
            </w:pPr>
            <w:r w:rsidRPr="00E16C4A">
              <w:rPr>
                <w:rFonts w:asciiTheme="minorHAnsi" w:hAnsiTheme="minorHAnsi" w:cstheme="minorHAnsi"/>
                <w:b/>
                <w:sz w:val="20"/>
                <w:szCs w:val="20"/>
              </w:rPr>
              <w:lastRenderedPageBreak/>
              <w:t>Councillors responsibilities</w:t>
            </w:r>
          </w:p>
        </w:tc>
        <w:tc>
          <w:tcPr>
            <w:tcW w:w="2461" w:type="dxa"/>
          </w:tcPr>
          <w:p w14:paraId="60175D8D" w14:textId="77777777" w:rsidR="005964C3" w:rsidRDefault="005964C3" w:rsidP="008A5914">
            <w:pPr>
              <w:rPr>
                <w:rFonts w:asciiTheme="minorHAnsi" w:hAnsiTheme="minorHAnsi" w:cstheme="minorHAnsi"/>
                <w:sz w:val="20"/>
                <w:szCs w:val="20"/>
              </w:rPr>
            </w:pPr>
          </w:p>
        </w:tc>
        <w:tc>
          <w:tcPr>
            <w:tcW w:w="774" w:type="dxa"/>
          </w:tcPr>
          <w:p w14:paraId="7B6CC8A1" w14:textId="77777777" w:rsidR="005964C3" w:rsidRDefault="005964C3" w:rsidP="008A5914">
            <w:pPr>
              <w:rPr>
                <w:rFonts w:asciiTheme="minorHAnsi" w:hAnsiTheme="minorHAnsi" w:cstheme="minorHAnsi"/>
                <w:sz w:val="20"/>
                <w:szCs w:val="20"/>
              </w:rPr>
            </w:pPr>
          </w:p>
        </w:tc>
        <w:tc>
          <w:tcPr>
            <w:tcW w:w="3092" w:type="dxa"/>
          </w:tcPr>
          <w:p w14:paraId="1759C399" w14:textId="77777777" w:rsidR="005964C3" w:rsidRDefault="005964C3" w:rsidP="008A5914">
            <w:pPr>
              <w:rPr>
                <w:rFonts w:asciiTheme="minorHAnsi" w:hAnsiTheme="minorHAnsi" w:cstheme="minorHAnsi"/>
                <w:sz w:val="20"/>
                <w:szCs w:val="20"/>
              </w:rPr>
            </w:pPr>
          </w:p>
        </w:tc>
        <w:tc>
          <w:tcPr>
            <w:tcW w:w="1693" w:type="dxa"/>
          </w:tcPr>
          <w:p w14:paraId="69B188D7" w14:textId="77777777" w:rsidR="005964C3" w:rsidRDefault="005964C3" w:rsidP="008A5914">
            <w:pPr>
              <w:rPr>
                <w:rFonts w:asciiTheme="minorHAnsi" w:hAnsiTheme="minorHAnsi" w:cstheme="minorHAnsi"/>
                <w:sz w:val="20"/>
                <w:szCs w:val="20"/>
              </w:rPr>
            </w:pPr>
          </w:p>
        </w:tc>
      </w:tr>
      <w:tr w:rsidR="005964C3" w:rsidRPr="00B80A1C" w14:paraId="442AE5A4" w14:textId="77777777" w:rsidTr="008A5914">
        <w:tc>
          <w:tcPr>
            <w:tcW w:w="1473" w:type="dxa"/>
          </w:tcPr>
          <w:p w14:paraId="339C8B29"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Members Interests</w:t>
            </w:r>
          </w:p>
        </w:tc>
        <w:tc>
          <w:tcPr>
            <w:tcW w:w="2461" w:type="dxa"/>
          </w:tcPr>
          <w:p w14:paraId="17937951"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Conflict of Interest</w:t>
            </w:r>
          </w:p>
          <w:p w14:paraId="0FA1CE9A" w14:textId="77777777" w:rsidR="005964C3" w:rsidRDefault="005964C3" w:rsidP="008A5914">
            <w:pPr>
              <w:rPr>
                <w:rFonts w:asciiTheme="minorHAnsi" w:hAnsiTheme="minorHAnsi" w:cstheme="minorHAnsi"/>
                <w:sz w:val="20"/>
                <w:szCs w:val="20"/>
              </w:rPr>
            </w:pPr>
          </w:p>
          <w:p w14:paraId="4D7FA9EF" w14:textId="77777777" w:rsidR="005964C3" w:rsidRDefault="005964C3" w:rsidP="008A5914">
            <w:pPr>
              <w:rPr>
                <w:rFonts w:asciiTheme="minorHAnsi" w:hAnsiTheme="minorHAnsi" w:cstheme="minorHAnsi"/>
                <w:sz w:val="20"/>
                <w:szCs w:val="20"/>
              </w:rPr>
            </w:pPr>
          </w:p>
          <w:p w14:paraId="35A7144F" w14:textId="77777777" w:rsidR="005964C3" w:rsidRDefault="005964C3" w:rsidP="008A5914">
            <w:pPr>
              <w:rPr>
                <w:rFonts w:asciiTheme="minorHAnsi" w:hAnsiTheme="minorHAnsi" w:cstheme="minorHAnsi"/>
                <w:sz w:val="20"/>
                <w:szCs w:val="20"/>
              </w:rPr>
            </w:pPr>
          </w:p>
          <w:p w14:paraId="65C2F669" w14:textId="77777777" w:rsidR="005964C3" w:rsidRDefault="005964C3" w:rsidP="008A5914">
            <w:pPr>
              <w:rPr>
                <w:rFonts w:asciiTheme="minorHAnsi" w:hAnsiTheme="minorHAnsi" w:cstheme="minorHAnsi"/>
                <w:sz w:val="20"/>
                <w:szCs w:val="20"/>
              </w:rPr>
            </w:pPr>
          </w:p>
          <w:p w14:paraId="03740093" w14:textId="77777777" w:rsidR="005964C3" w:rsidRDefault="005964C3" w:rsidP="008A5914">
            <w:pPr>
              <w:rPr>
                <w:rFonts w:asciiTheme="minorHAnsi" w:hAnsiTheme="minorHAnsi" w:cstheme="minorHAnsi"/>
                <w:sz w:val="20"/>
                <w:szCs w:val="20"/>
              </w:rPr>
            </w:pPr>
          </w:p>
          <w:p w14:paraId="1446C67F"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Register of Members Interest</w:t>
            </w:r>
          </w:p>
        </w:tc>
        <w:tc>
          <w:tcPr>
            <w:tcW w:w="774" w:type="dxa"/>
          </w:tcPr>
          <w:p w14:paraId="7A39A75D"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M</w:t>
            </w:r>
          </w:p>
          <w:p w14:paraId="10D68197" w14:textId="77777777" w:rsidR="005964C3" w:rsidRDefault="005964C3" w:rsidP="008A5914">
            <w:pPr>
              <w:rPr>
                <w:rFonts w:asciiTheme="minorHAnsi" w:hAnsiTheme="minorHAnsi" w:cstheme="minorHAnsi"/>
                <w:sz w:val="20"/>
                <w:szCs w:val="20"/>
              </w:rPr>
            </w:pPr>
          </w:p>
          <w:p w14:paraId="1036396D" w14:textId="77777777" w:rsidR="005964C3" w:rsidRDefault="005964C3" w:rsidP="008A5914">
            <w:pPr>
              <w:rPr>
                <w:rFonts w:asciiTheme="minorHAnsi" w:hAnsiTheme="minorHAnsi" w:cstheme="minorHAnsi"/>
                <w:sz w:val="20"/>
                <w:szCs w:val="20"/>
              </w:rPr>
            </w:pPr>
          </w:p>
          <w:p w14:paraId="0B45CD96" w14:textId="77777777" w:rsidR="005964C3" w:rsidRDefault="005964C3" w:rsidP="008A5914">
            <w:pPr>
              <w:rPr>
                <w:rFonts w:asciiTheme="minorHAnsi" w:hAnsiTheme="minorHAnsi" w:cstheme="minorHAnsi"/>
                <w:sz w:val="20"/>
                <w:szCs w:val="20"/>
              </w:rPr>
            </w:pPr>
          </w:p>
          <w:p w14:paraId="0FECB5CF" w14:textId="77777777" w:rsidR="005964C3" w:rsidRDefault="005964C3" w:rsidP="008A5914">
            <w:pPr>
              <w:rPr>
                <w:rFonts w:asciiTheme="minorHAnsi" w:hAnsiTheme="minorHAnsi" w:cstheme="minorHAnsi"/>
                <w:sz w:val="20"/>
                <w:szCs w:val="20"/>
              </w:rPr>
            </w:pPr>
          </w:p>
          <w:p w14:paraId="0707702A" w14:textId="77777777" w:rsidR="005964C3" w:rsidRDefault="005964C3" w:rsidP="008A5914">
            <w:pPr>
              <w:rPr>
                <w:rFonts w:asciiTheme="minorHAnsi" w:hAnsiTheme="minorHAnsi" w:cstheme="minorHAnsi"/>
                <w:sz w:val="20"/>
                <w:szCs w:val="20"/>
              </w:rPr>
            </w:pPr>
          </w:p>
          <w:p w14:paraId="4366A3F2"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L</w:t>
            </w:r>
          </w:p>
        </w:tc>
        <w:tc>
          <w:tcPr>
            <w:tcW w:w="3092" w:type="dxa"/>
          </w:tcPr>
          <w:p w14:paraId="53AC4697"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 xml:space="preserve">Councillors reminded of duty to declare any interest at the start of a meeting. Declaration of interest book maintained by Clerk and any declarations recorded in the minutes. </w:t>
            </w:r>
          </w:p>
          <w:p w14:paraId="131CFA3B"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Register of Interests forms should be reviewed annually</w:t>
            </w:r>
          </w:p>
        </w:tc>
        <w:tc>
          <w:tcPr>
            <w:tcW w:w="1693" w:type="dxa"/>
          </w:tcPr>
          <w:p w14:paraId="59B86813"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Adequate procedure in place</w:t>
            </w:r>
          </w:p>
          <w:p w14:paraId="127D750D" w14:textId="77777777" w:rsidR="005964C3" w:rsidRDefault="005964C3" w:rsidP="008A5914">
            <w:pPr>
              <w:rPr>
                <w:rFonts w:asciiTheme="minorHAnsi" w:hAnsiTheme="minorHAnsi" w:cstheme="minorHAnsi"/>
                <w:sz w:val="20"/>
                <w:szCs w:val="20"/>
              </w:rPr>
            </w:pPr>
          </w:p>
          <w:p w14:paraId="72002685" w14:textId="77777777" w:rsidR="005964C3" w:rsidRDefault="005964C3" w:rsidP="008A5914">
            <w:pPr>
              <w:rPr>
                <w:rFonts w:asciiTheme="minorHAnsi" w:hAnsiTheme="minorHAnsi" w:cstheme="minorHAnsi"/>
                <w:sz w:val="20"/>
                <w:szCs w:val="20"/>
              </w:rPr>
            </w:pPr>
          </w:p>
          <w:p w14:paraId="0AD2C25E" w14:textId="77777777" w:rsidR="005964C3" w:rsidRDefault="005964C3" w:rsidP="008A5914">
            <w:pPr>
              <w:rPr>
                <w:rFonts w:asciiTheme="minorHAnsi" w:hAnsiTheme="minorHAnsi" w:cstheme="minorHAnsi"/>
                <w:sz w:val="20"/>
                <w:szCs w:val="20"/>
              </w:rPr>
            </w:pPr>
          </w:p>
          <w:p w14:paraId="527741FA" w14:textId="77777777" w:rsidR="005964C3" w:rsidRDefault="005964C3" w:rsidP="008A5914">
            <w:pPr>
              <w:rPr>
                <w:rFonts w:asciiTheme="minorHAnsi" w:hAnsiTheme="minorHAnsi" w:cstheme="minorHAnsi"/>
                <w:sz w:val="20"/>
                <w:szCs w:val="20"/>
              </w:rPr>
            </w:pPr>
            <w:r>
              <w:rPr>
                <w:rFonts w:asciiTheme="minorHAnsi" w:hAnsiTheme="minorHAnsi" w:cstheme="minorHAnsi"/>
                <w:sz w:val="20"/>
                <w:szCs w:val="20"/>
              </w:rPr>
              <w:t>Councillors to be reminded to review forms annually.</w:t>
            </w:r>
          </w:p>
        </w:tc>
      </w:tr>
    </w:tbl>
    <w:p w14:paraId="3CB8ABE8" w14:textId="77777777" w:rsidR="005964C3" w:rsidRDefault="005964C3" w:rsidP="005964C3">
      <w:pPr>
        <w:rPr>
          <w:rFonts w:asciiTheme="minorHAnsi" w:hAnsiTheme="minorHAnsi" w:cstheme="minorHAnsi"/>
          <w:sz w:val="20"/>
          <w:szCs w:val="20"/>
        </w:rPr>
      </w:pPr>
    </w:p>
    <w:p w14:paraId="13A7A944" w14:textId="77777777" w:rsidR="005964C3" w:rsidRDefault="005964C3" w:rsidP="005964C3">
      <w:pPr>
        <w:rPr>
          <w:rFonts w:asciiTheme="minorHAnsi" w:hAnsiTheme="minorHAnsi" w:cstheme="minorHAnsi"/>
          <w:sz w:val="20"/>
          <w:szCs w:val="20"/>
        </w:rPr>
      </w:pPr>
    </w:p>
    <w:p w14:paraId="69AE2F41" w14:textId="77777777" w:rsidR="00DD6074" w:rsidRDefault="00DD6074"/>
    <w:sectPr w:rsidR="00DD6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7534D"/>
    <w:multiLevelType w:val="hybridMultilevel"/>
    <w:tmpl w:val="01C2C5FC"/>
    <w:lvl w:ilvl="0" w:tplc="1CEE1BA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C3"/>
    <w:rsid w:val="003D572C"/>
    <w:rsid w:val="005964C3"/>
    <w:rsid w:val="0061727A"/>
    <w:rsid w:val="00C215C0"/>
    <w:rsid w:val="00C73A23"/>
    <w:rsid w:val="00DD6074"/>
    <w:rsid w:val="00FC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A3F6"/>
  <w15:chartTrackingRefBased/>
  <w15:docId w15:val="{9AD67C40-E49A-4488-9525-44D7103E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C3"/>
    <w:pPr>
      <w:ind w:left="720"/>
      <w:contextualSpacing/>
    </w:pPr>
  </w:style>
  <w:style w:type="table" w:styleId="TableGrid">
    <w:name w:val="Table Grid"/>
    <w:basedOn w:val="TableNormal"/>
    <w:uiPriority w:val="39"/>
    <w:rsid w:val="0059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Lewis</dc:creator>
  <cp:keywords/>
  <dc:description/>
  <cp:lastModifiedBy>Joe Lewis-Braddock</cp:lastModifiedBy>
  <cp:revision>7</cp:revision>
  <dcterms:created xsi:type="dcterms:W3CDTF">2018-11-13T09:45:00Z</dcterms:created>
  <dcterms:modified xsi:type="dcterms:W3CDTF">2019-10-09T06:40:00Z</dcterms:modified>
</cp:coreProperties>
</file>